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CF" w:rsidRDefault="009456CF" w:rsidP="009456CF">
      <w:pPr>
        <w:bidi/>
        <w:spacing w:after="0" w:line="240" w:lineRule="auto"/>
        <w:jc w:val="lowKashida"/>
        <w:rPr>
          <w:rFonts w:ascii="Byagut" w:hAnsi="Byagut" w:cs="B Badr" w:hint="cs"/>
          <w:sz w:val="26"/>
          <w:szCs w:val="26"/>
          <w:rtl/>
          <w:lang w:bidi="fa-IR"/>
        </w:rPr>
      </w:pPr>
    </w:p>
    <w:tbl>
      <w:tblPr>
        <w:tblStyle w:val="TableGrid"/>
        <w:bidiVisual/>
        <w:tblW w:w="10199" w:type="dxa"/>
        <w:tblLook w:val="04A0"/>
      </w:tblPr>
      <w:tblGrid>
        <w:gridCol w:w="559"/>
        <w:gridCol w:w="9640"/>
      </w:tblGrid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طراحی پوشش های ضد حریق جهت کلیه سازه ها، برج ها، ... فرآیندی مطابق راهنمای شماره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HSE-322-01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 نصب دیواره بتنی</w:t>
            </w:r>
            <w:r w:rsidRPr="009456CF">
              <w:rPr>
                <w:rFonts w:ascii="Byagut" w:hAnsi="Byagut" w:cs="B Badr" w:hint="cs"/>
                <w:sz w:val="26"/>
                <w:szCs w:val="26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9456CF">
              <w:rPr>
                <w:rFonts w:ascii="Byagut" w:hAnsi="Byagut" w:cs="B Badr"/>
                <w:sz w:val="26"/>
                <w:szCs w:val="26"/>
                <w:shd w:val="clear" w:color="auto" w:fill="FFFFFF" w:themeFill="background1"/>
                <w:lang w:bidi="fa-IR"/>
              </w:rPr>
              <w:t>Dick wall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جهت مخازن ذخیره مواد شیمیایی و رعایت حداکثر فاصله ایمن طراحی 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ضد</w:t>
            </w: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انفجار نمودن (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Blast Proof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) ساختمان اتاق کنترل واحد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 و طراحی ایستگاههای آتش نشانی مطابق استانداردهای مربوطه در مکانهای ایمن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 اتوماتیک نمودن شیرهای خوراک ورودی به شرکتهای پتروشیمی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رعایت حداکثر فاصله ایمن در طراحی واحدهای فرآیندی با مخازن ذخیره و مراکز جمعیتی نظیر(اتاقهای کنترل)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الزام به پیش بینی و نصب سیستم های کولینگ اتوماتیک مخازن ذخیره، برج ها، ظروف فرآیندی 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 نصب سیستمهای آشکارساز گاز ثابت در واحدهای فرآیندی و نصب سیستم (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Fire &amp; Gas Detection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 نصب دوربینهای مدار بسته (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CCTV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) در اطراف شرکتهای پتروشیمی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پیش بینی راههای خروج اضطراری و تعیین نقاط ایمن تجمع اضطراری و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Fire road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های مناسب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انجام مطالعات ارزیابی خطر (</w:t>
            </w:r>
            <w:proofErr w:type="spellStart"/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Hazop</w:t>
            </w:r>
            <w:proofErr w:type="spellEnd"/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 xml:space="preserve"> </w:t>
            </w:r>
            <w:proofErr w:type="spellStart"/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Stody</w:t>
            </w:r>
            <w:proofErr w:type="spellEnd"/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)</w:t>
            </w: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و </w:t>
            </w: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پیش بینی ریسک های حاصل از انفجار و آتش سوزی و نشت مواد سمی در این مطالعه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HSE-321-01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بینی، طراحی و خرید ترانس های اصلی تامین و توزیع برق در برابر تشعشع تهدیدات گرافیکی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 دیزل ژنراتور برق اضطراری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اطمینان از طراحی مناسب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Fire wall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شبکه های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IT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و مجزا نمودن شبکه های صنعتی با اینترنت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شناسایی مراکز جمعیتی اطراف طرح / شرکت و رعایت حریم ایمن مجاز در طراحی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پیش بینی و طراحی سیستم ارتباطی مناسب با مراکز صنعتی / خدماتی / امدادی اطراف محل اجراء سایت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برنامه ریزی اجرای آموزش های عمومی / تخصصی پدافند غیرعامل جهت کلیه سطوح کاری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نظر به اهمیت نحوه چیدمان تجهیزات فرآیندی ، اتاق کنترل ، مخازن ذخیره مواد شیمیایی با نگرش ملاحظات پدافند غیرعامل،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Layout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طرح به تایید مدیریت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HSE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شرکت ملی صنایع پتروشیمی رسانده شود .</w:t>
            </w:r>
          </w:p>
        </w:tc>
      </w:tr>
      <w:tr w:rsidR="009456CF" w:rsidTr="00A02FDE">
        <w:tc>
          <w:tcPr>
            <w:tcW w:w="559" w:type="dxa"/>
          </w:tcPr>
          <w:p w:rsidR="009456CF" w:rsidRDefault="009456CF" w:rsidP="009456CF">
            <w:pPr>
              <w:bidi/>
              <w:jc w:val="center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19</w:t>
            </w:r>
          </w:p>
        </w:tc>
        <w:tc>
          <w:tcPr>
            <w:tcW w:w="9640" w:type="dxa"/>
          </w:tcPr>
          <w:p w:rsidR="009456CF" w:rsidRDefault="009456CF" w:rsidP="009456CF">
            <w:pPr>
              <w:bidi/>
              <w:jc w:val="lowKashida"/>
              <w:rPr>
                <w:rFonts w:ascii="Byagut" w:hAnsi="Byagut" w:cs="B Badr"/>
                <w:sz w:val="26"/>
                <w:szCs w:val="26"/>
                <w:rtl/>
                <w:lang w:bidi="fa-IR"/>
              </w:rPr>
            </w:pP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در خصوص انتخاب مشاوران ذیصلاح بندهای 1 و 8 و 11 با مدیریت </w:t>
            </w:r>
            <w:r w:rsidRPr="009456CF">
              <w:rPr>
                <w:rFonts w:ascii="Byagut" w:hAnsi="Byagut" w:cs="B Badr"/>
                <w:sz w:val="26"/>
                <w:szCs w:val="26"/>
                <w:lang w:bidi="fa-IR"/>
              </w:rPr>
              <w:t>HSE</w:t>
            </w:r>
            <w:r w:rsidRPr="009456CF"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 xml:space="preserve"> شرکت ملی صنای</w:t>
            </w:r>
            <w:r>
              <w:rPr>
                <w:rFonts w:ascii="Byagut" w:hAnsi="Byagut" w:cs="B Badr" w:hint="cs"/>
                <w:sz w:val="26"/>
                <w:szCs w:val="26"/>
                <w:rtl/>
                <w:lang w:bidi="fa-IR"/>
              </w:rPr>
              <w:t>ع پتروشیمی هماهنگی گردد .</w:t>
            </w:r>
          </w:p>
        </w:tc>
      </w:tr>
    </w:tbl>
    <w:p w:rsidR="009456CF" w:rsidRPr="009456CF" w:rsidRDefault="009456CF" w:rsidP="009456CF">
      <w:p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</w:p>
    <w:sectPr w:rsidR="009456CF" w:rsidRPr="009456CF" w:rsidSect="009456CF">
      <w:headerReference w:type="default" r:id="rId7"/>
      <w:pgSz w:w="12240" w:h="15840"/>
      <w:pgMar w:top="1440" w:right="1440" w:bottom="1134" w:left="993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65" w:rsidRDefault="00A72C65" w:rsidP="0060506E">
      <w:pPr>
        <w:spacing w:after="0" w:line="240" w:lineRule="auto"/>
      </w:pPr>
      <w:r>
        <w:separator/>
      </w:r>
    </w:p>
  </w:endnote>
  <w:endnote w:type="continuationSeparator" w:id="1">
    <w:p w:rsidR="00A72C65" w:rsidRDefault="00A72C65" w:rsidP="006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yagu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65" w:rsidRDefault="00A72C65" w:rsidP="0060506E">
      <w:pPr>
        <w:spacing w:after="0" w:line="240" w:lineRule="auto"/>
      </w:pPr>
      <w:r>
        <w:separator/>
      </w:r>
    </w:p>
  </w:footnote>
  <w:footnote w:type="continuationSeparator" w:id="1">
    <w:p w:rsidR="00A72C65" w:rsidRDefault="00A72C65" w:rsidP="006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6E" w:rsidRDefault="0060506E" w:rsidP="0060506E">
    <w:pPr>
      <w:bidi/>
      <w:jc w:val="center"/>
      <w:rPr>
        <w:rFonts w:ascii="Byagut" w:hAnsi="Byagut" w:cs="B Titr"/>
        <w:sz w:val="24"/>
        <w:szCs w:val="24"/>
        <w:rtl/>
        <w:lang w:bidi="fa-IR"/>
      </w:rPr>
    </w:pPr>
    <w:r w:rsidRPr="00E843C4">
      <w:rPr>
        <w:rFonts w:ascii="Byagut" w:hAnsi="Byagut" w:cs="B Titr" w:hint="cs"/>
        <w:sz w:val="24"/>
        <w:szCs w:val="24"/>
        <w:rtl/>
        <w:lang w:bidi="fa-IR"/>
      </w:rPr>
      <w:t>الزامات پدافند غیرعامل طرحهای پتروشیمی و صنایع تکمیلی</w:t>
    </w:r>
  </w:p>
  <w:p w:rsidR="0060506E" w:rsidRDefault="006050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824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5893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83CB1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57BAF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4AEF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97DF4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F4728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06C88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53C1D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243F5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87868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B3656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50785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A60A6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46FCC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51487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05660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64F93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74F3F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5308F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0"/>
  </w:num>
  <w:num w:numId="5">
    <w:abstractNumId w:val="6"/>
  </w:num>
  <w:num w:numId="6">
    <w:abstractNumId w:val="19"/>
  </w:num>
  <w:num w:numId="7">
    <w:abstractNumId w:val="7"/>
  </w:num>
  <w:num w:numId="8">
    <w:abstractNumId w:val="0"/>
  </w:num>
  <w:num w:numId="9">
    <w:abstractNumId w:val="14"/>
  </w:num>
  <w:num w:numId="10">
    <w:abstractNumId w:val="9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11"/>
  </w:num>
  <w:num w:numId="16">
    <w:abstractNumId w:val="18"/>
  </w:num>
  <w:num w:numId="17">
    <w:abstractNumId w:val="8"/>
  </w:num>
  <w:num w:numId="18">
    <w:abstractNumId w:val="2"/>
  </w:num>
  <w:num w:numId="19">
    <w:abstractNumId w:val="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781A"/>
    <w:rsid w:val="000074BA"/>
    <w:rsid w:val="003F4267"/>
    <w:rsid w:val="004843AB"/>
    <w:rsid w:val="0060506E"/>
    <w:rsid w:val="006F781A"/>
    <w:rsid w:val="00741C2F"/>
    <w:rsid w:val="00741D8F"/>
    <w:rsid w:val="008A5184"/>
    <w:rsid w:val="009456CF"/>
    <w:rsid w:val="00A02FDE"/>
    <w:rsid w:val="00A72C65"/>
    <w:rsid w:val="00AB797D"/>
    <w:rsid w:val="00AE062E"/>
    <w:rsid w:val="00B66E39"/>
    <w:rsid w:val="00C81031"/>
    <w:rsid w:val="00CF647D"/>
    <w:rsid w:val="00E15DF8"/>
    <w:rsid w:val="00E8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81A"/>
    <w:pPr>
      <w:ind w:left="720"/>
      <w:contextualSpacing/>
    </w:pPr>
  </w:style>
  <w:style w:type="table" w:styleId="TableGrid">
    <w:name w:val="Table Grid"/>
    <w:basedOn w:val="TableNormal"/>
    <w:uiPriority w:val="59"/>
    <w:rsid w:val="00945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06E"/>
  </w:style>
  <w:style w:type="paragraph" w:styleId="Footer">
    <w:name w:val="footer"/>
    <w:basedOn w:val="Normal"/>
    <w:link w:val="FooterChar"/>
    <w:uiPriority w:val="99"/>
    <w:semiHidden/>
    <w:unhideWhenUsed/>
    <w:rsid w:val="006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HSE-Alipour</dc:creator>
  <cp:keywords/>
  <dc:description/>
  <cp:lastModifiedBy>abbasi</cp:lastModifiedBy>
  <cp:revision>2</cp:revision>
  <cp:lastPrinted>2014-03-16T08:56:00Z</cp:lastPrinted>
  <dcterms:created xsi:type="dcterms:W3CDTF">2014-05-18T11:32:00Z</dcterms:created>
  <dcterms:modified xsi:type="dcterms:W3CDTF">2014-05-18T11:32:00Z</dcterms:modified>
</cp:coreProperties>
</file>